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336"/>
        <w:gridCol w:w="765"/>
        <w:gridCol w:w="9646"/>
        <w:gridCol w:w="675"/>
      </w:tblGrid>
      <w:tr w:rsidR="00FA0E91" w:rsidRPr="00FA0E91" w14:paraId="4510ED34" w14:textId="77777777" w:rsidTr="00FA0E91">
        <w:trPr>
          <w:trHeight w:val="405"/>
          <w:jc w:val="center"/>
        </w:trPr>
        <w:tc>
          <w:tcPr>
            <w:tcW w:w="5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64098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8EF4B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比选因素</w:t>
            </w:r>
          </w:p>
        </w:tc>
        <w:tc>
          <w:tcPr>
            <w:tcW w:w="7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0F58D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9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8EBE0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DDF6B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得分</w:t>
            </w:r>
          </w:p>
        </w:tc>
      </w:tr>
      <w:tr w:rsidR="00FA0E91" w:rsidRPr="00FA0E91" w14:paraId="03F1843B" w14:textId="77777777" w:rsidTr="00FA0E91">
        <w:trPr>
          <w:trHeight w:val="4032"/>
          <w:jc w:val="center"/>
        </w:trPr>
        <w:tc>
          <w:tcPr>
            <w:tcW w:w="5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8BBEF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3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E83B6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报 </w:t>
            </w: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价</w:t>
            </w:r>
          </w:p>
          <w:p w14:paraId="780FA652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7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C8364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30分</w:t>
            </w:r>
          </w:p>
        </w:tc>
        <w:tc>
          <w:tcPr>
            <w:tcW w:w="9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94082" w14:textId="44EC1A4E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以（</w:t>
            </w:r>
            <w:proofErr w:type="gramStart"/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国家发改委</w:t>
            </w:r>
            <w:proofErr w:type="gramEnd"/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发改办价格[2003]857号文件）规定收费标准为基数作</w:t>
            </w:r>
            <w:proofErr w:type="gramStart"/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下浮率报价</w:t>
            </w:r>
            <w:proofErr w:type="gramEnd"/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，按下表进行得分。</w:t>
            </w:r>
          </w:p>
          <w:tbl>
            <w:tblPr>
              <w:tblpPr w:leftFromText="180" w:rightFromText="180" w:vertAnchor="text" w:horzAnchor="margin" w:tblpXSpec="center" w:tblpY="304"/>
              <w:tblW w:w="948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3"/>
              <w:gridCol w:w="993"/>
              <w:gridCol w:w="992"/>
              <w:gridCol w:w="1134"/>
              <w:gridCol w:w="1129"/>
              <w:gridCol w:w="1132"/>
              <w:gridCol w:w="1141"/>
              <w:gridCol w:w="1266"/>
            </w:tblGrid>
            <w:tr w:rsidR="00FA0E91" w14:paraId="0D4E970E" w14:textId="77777777" w:rsidTr="00A74E00">
              <w:trPr>
                <w:trHeight w:val="951"/>
              </w:trPr>
              <w:tc>
                <w:tcPr>
                  <w:tcW w:w="1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035E423" w14:textId="77777777" w:rsidR="00FA0E91" w:rsidRDefault="00FA0E91" w:rsidP="00FA0E91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proofErr w:type="gramStart"/>
                  <w:r>
                    <w:rPr>
                      <w:rFonts w:ascii="宋体" w:eastAsia="宋体" w:hAnsi="宋体" w:cs="宋体"/>
                      <w:kern w:val="0"/>
                      <w:sz w:val="24"/>
                    </w:rPr>
                    <w:t>下浮率</w:t>
                  </w:r>
                  <w:proofErr w:type="gramEnd"/>
                  <w:r>
                    <w:rPr>
                      <w:rFonts w:ascii="宋体" w:eastAsia="宋体" w:hAnsi="宋体" w:cs="宋体"/>
                      <w:kern w:val="0"/>
                      <w:sz w:val="24"/>
                    </w:rPr>
                    <w:t>F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E7DE2D0" w14:textId="77777777" w:rsidR="00FA0E91" w:rsidRDefault="00FA0E91" w:rsidP="00FA0E91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</w:rPr>
                    <w:t>1-3%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E732612" w14:textId="77777777" w:rsidR="00FA0E91" w:rsidRDefault="00FA0E91" w:rsidP="00FA0E91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</w:rPr>
                    <w:t>4-6%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2885895" w14:textId="77777777" w:rsidR="00FA0E91" w:rsidRDefault="00FA0E91" w:rsidP="00FA0E91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</w:rPr>
                    <w:t>7%-9%</w:t>
                  </w:r>
                </w:p>
              </w:tc>
              <w:tc>
                <w:tcPr>
                  <w:tcW w:w="11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3BB1004" w14:textId="77777777" w:rsidR="00FA0E91" w:rsidRDefault="00FA0E91" w:rsidP="00FA0E91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</w:rPr>
                    <w:t>10-12%</w:t>
                  </w:r>
                </w:p>
              </w:tc>
              <w:tc>
                <w:tcPr>
                  <w:tcW w:w="1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A6232A9" w14:textId="77777777" w:rsidR="00FA0E91" w:rsidRDefault="00FA0E91" w:rsidP="00FA0E91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</w:rPr>
                    <w:t>13-15%</w:t>
                  </w:r>
                </w:p>
              </w:tc>
              <w:tc>
                <w:tcPr>
                  <w:tcW w:w="11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43E42A2" w14:textId="77777777" w:rsidR="00FA0E91" w:rsidRDefault="00FA0E91" w:rsidP="00FA0E91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</w:rPr>
                    <w:t>16%-18%</w:t>
                  </w:r>
                </w:p>
              </w:tc>
              <w:tc>
                <w:tcPr>
                  <w:tcW w:w="12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38EEE09" w14:textId="77777777" w:rsidR="00FA0E91" w:rsidRDefault="00FA0E91" w:rsidP="00FA0E91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</w:rPr>
                    <w:t>19%-20%</w:t>
                  </w:r>
                </w:p>
              </w:tc>
            </w:tr>
            <w:tr w:rsidR="00FA0E91" w14:paraId="753808C5" w14:textId="77777777" w:rsidTr="00A74E00">
              <w:trPr>
                <w:trHeight w:val="997"/>
              </w:trPr>
              <w:tc>
                <w:tcPr>
                  <w:tcW w:w="16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B05A804" w14:textId="77777777" w:rsidR="00FA0E91" w:rsidRDefault="00FA0E91" w:rsidP="00FA0E91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</w:rPr>
                    <w:t>分值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30B5035" w14:textId="77777777" w:rsidR="00FA0E91" w:rsidRDefault="00FA0E91" w:rsidP="00FA0E91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</w:rPr>
                    <w:t>3分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410E848" w14:textId="77777777" w:rsidR="00FA0E91" w:rsidRDefault="00FA0E91" w:rsidP="00FA0E91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5</w:t>
                  </w:r>
                  <w:r>
                    <w:rPr>
                      <w:rFonts w:ascii="宋体" w:eastAsia="宋体" w:hAnsi="宋体" w:cs="宋体"/>
                      <w:kern w:val="0"/>
                      <w:sz w:val="24"/>
                    </w:rPr>
                    <w:t>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7ABE2A1" w14:textId="77777777" w:rsidR="00FA0E91" w:rsidRDefault="00FA0E91" w:rsidP="00FA0E91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</w:rPr>
                    <w:t>10分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8221779" w14:textId="77777777" w:rsidR="00FA0E91" w:rsidRDefault="00FA0E91" w:rsidP="00FA0E91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</w:rPr>
                    <w:t>15分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EEB66C2" w14:textId="77777777" w:rsidR="00FA0E91" w:rsidRDefault="00FA0E91" w:rsidP="00FA0E91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</w:rPr>
                    <w:t>20分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7D1E63D" w14:textId="77777777" w:rsidR="00FA0E91" w:rsidRDefault="00FA0E91" w:rsidP="00FA0E91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</w:rPr>
                    <w:t>25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分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A7A69C1" w14:textId="77777777" w:rsidR="00FA0E91" w:rsidRDefault="00FA0E91" w:rsidP="00FA0E91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</w:rPr>
                    <w:t>30分</w:t>
                  </w:r>
                </w:p>
              </w:tc>
            </w:tr>
          </w:tbl>
          <w:p w14:paraId="7614E1FC" w14:textId="77777777" w:rsidR="00FA0E91" w:rsidRPr="00FA0E91" w:rsidRDefault="00FA0E91" w:rsidP="00FA0E91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E7955" w14:textId="77777777" w:rsidR="00FA0E91" w:rsidRPr="00FA0E91" w:rsidRDefault="00FA0E91" w:rsidP="00FA0E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FA0E91" w:rsidRPr="00FA0E91" w14:paraId="2E5357CC" w14:textId="77777777" w:rsidTr="00FA0E91">
        <w:trPr>
          <w:trHeight w:val="1470"/>
          <w:jc w:val="center"/>
        </w:trPr>
        <w:tc>
          <w:tcPr>
            <w:tcW w:w="56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A7072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33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8BB48" w14:textId="6BAA6828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综合实力（满分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0分）</w:t>
            </w:r>
          </w:p>
        </w:tc>
        <w:tc>
          <w:tcPr>
            <w:tcW w:w="7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561EB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10分</w:t>
            </w:r>
          </w:p>
        </w:tc>
        <w:tc>
          <w:tcPr>
            <w:tcW w:w="9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A4705" w14:textId="5275F0E1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（1）在南昌市内具备固定独立办公场所和招标代理业务所需的办公条件，得</w:t>
            </w:r>
            <w:r w:rsidR="00BE5867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3</w:t>
            </w:r>
            <w:r w:rsidRPr="00FA0E91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分</w:t>
            </w: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14:paraId="4DB34BB4" w14:textId="321AEB3E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（2）参选人在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南昌</w:t>
            </w: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市有固定主营业场所，营业场所面积：</w:t>
            </w:r>
          </w:p>
          <w:p w14:paraId="726C1DC4" w14:textId="49091226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①面积在1000平方米及以上的得</w:t>
            </w:r>
            <w:r w:rsidR="00BE586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</w:t>
            </w: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分；</w:t>
            </w:r>
          </w:p>
          <w:p w14:paraId="38BEDF31" w14:textId="292115CC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②面积在500-1000平方米（含500平方米）的得</w:t>
            </w:r>
            <w:r w:rsidR="00BE586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</w:t>
            </w: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分；</w:t>
            </w:r>
          </w:p>
          <w:p w14:paraId="0D851F5D" w14:textId="4C20314C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③面积在300-500平方米（含300平方米）的得</w:t>
            </w:r>
            <w:r w:rsidR="00BE586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分；</w:t>
            </w:r>
          </w:p>
          <w:p w14:paraId="4710EDFA" w14:textId="2A646F4C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④面积在300平方米以下的得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分。</w:t>
            </w:r>
          </w:p>
          <w:p w14:paraId="6F867CB0" w14:textId="68FBCB23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需提供房产证或租赁合同复印件并加盖公章，提供现场办公环境照片并加盖公章，不提供不得分。</w:t>
            </w: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A6938" w14:textId="77777777" w:rsidR="00FA0E91" w:rsidRPr="00FA0E91" w:rsidRDefault="00FA0E91" w:rsidP="00FA0E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FA0E91" w:rsidRPr="00FA0E91" w14:paraId="59A6D082" w14:textId="77777777" w:rsidTr="00FA0E91">
        <w:trPr>
          <w:trHeight w:val="795"/>
          <w:jc w:val="center"/>
        </w:trPr>
        <w:tc>
          <w:tcPr>
            <w:tcW w:w="568" w:type="dxa"/>
            <w:vMerge/>
            <w:shd w:val="clear" w:color="auto" w:fill="FFFFFF"/>
            <w:vAlign w:val="center"/>
            <w:hideMark/>
          </w:tcPr>
          <w:p w14:paraId="4E5BE767" w14:textId="77777777" w:rsidR="00FA0E91" w:rsidRPr="00FA0E91" w:rsidRDefault="00FA0E91" w:rsidP="00FA0E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FFFFFF"/>
            <w:vAlign w:val="center"/>
            <w:hideMark/>
          </w:tcPr>
          <w:p w14:paraId="36C94065" w14:textId="77777777" w:rsidR="00FA0E91" w:rsidRPr="00FA0E91" w:rsidRDefault="00FA0E91" w:rsidP="00FA0E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844B2" w14:textId="42C5B392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</w:t>
            </w: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9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050FB" w14:textId="4B92812F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有独立开标室得</w:t>
            </w:r>
            <w:r w:rsidR="00BE586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分、独立评标室得</w:t>
            </w:r>
            <w:r w:rsidR="00BE586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分，独立的档案室得</w:t>
            </w:r>
            <w:r w:rsidR="00BE586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分，</w:t>
            </w:r>
            <w:r w:rsidR="00BE586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本项</w:t>
            </w: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满分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</w:t>
            </w: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分。提供场所图片并加盖公章得分，不提供不得分。</w:t>
            </w: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F91BC" w14:textId="77777777" w:rsidR="00FA0E91" w:rsidRPr="00FA0E91" w:rsidRDefault="00FA0E91" w:rsidP="00FA0E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FA0E91" w:rsidRPr="00FA0E91" w14:paraId="4C529DB4" w14:textId="77777777" w:rsidTr="00FA0E91">
        <w:trPr>
          <w:trHeight w:val="285"/>
          <w:jc w:val="center"/>
        </w:trPr>
        <w:tc>
          <w:tcPr>
            <w:tcW w:w="568" w:type="dxa"/>
            <w:vMerge/>
            <w:shd w:val="clear" w:color="auto" w:fill="FFFFFF"/>
            <w:vAlign w:val="center"/>
            <w:hideMark/>
          </w:tcPr>
          <w:p w14:paraId="6F99E4B0" w14:textId="77777777" w:rsidR="00FA0E91" w:rsidRPr="00FA0E91" w:rsidRDefault="00FA0E91" w:rsidP="00FA0E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FFFFFF"/>
            <w:vAlign w:val="center"/>
            <w:hideMark/>
          </w:tcPr>
          <w:p w14:paraId="7DE72F7E" w14:textId="77777777" w:rsidR="00FA0E91" w:rsidRPr="00FA0E91" w:rsidRDefault="00FA0E91" w:rsidP="00FA0E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5E2D8" w14:textId="4DF86705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</w:t>
            </w: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9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C4BDD" w14:textId="1A588319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招标代理机构具有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五</w:t>
            </w: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人专职人员得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分，不足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五</w:t>
            </w: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人不得分，</w:t>
            </w:r>
            <w:proofErr w:type="gramStart"/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每再增加</w:t>
            </w:r>
            <w:proofErr w:type="gramEnd"/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一人得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分，本项满分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5</w:t>
            </w: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分。</w:t>
            </w:r>
          </w:p>
          <w:p w14:paraId="37E73D7E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注：专职人员须提供中国招标投标</w:t>
            </w:r>
            <w:proofErr w:type="gramStart"/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协会招采人员</w:t>
            </w:r>
            <w:proofErr w:type="gramEnd"/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专业技术能力评价初级及以上的有效证书，否则不得分。</w:t>
            </w: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EED4E" w14:textId="77777777" w:rsidR="00FA0E91" w:rsidRPr="00FA0E91" w:rsidRDefault="00FA0E91" w:rsidP="00FA0E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FA0E91" w:rsidRPr="00FA0E91" w14:paraId="046C33A9" w14:textId="77777777" w:rsidTr="00FA0E91">
        <w:trPr>
          <w:trHeight w:val="1485"/>
          <w:jc w:val="center"/>
        </w:trPr>
        <w:tc>
          <w:tcPr>
            <w:tcW w:w="5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8F077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DB22F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业绩（满分10分）</w:t>
            </w:r>
          </w:p>
        </w:tc>
        <w:tc>
          <w:tcPr>
            <w:tcW w:w="7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9B4AE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10分</w:t>
            </w:r>
          </w:p>
        </w:tc>
        <w:tc>
          <w:tcPr>
            <w:tcW w:w="9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53792" w14:textId="49D433F4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提供近</w:t>
            </w:r>
            <w:r w:rsidRPr="00FA0E91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3年（2020年至今）已完成的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类似我所科研机构仪器设备采购项目</w:t>
            </w:r>
            <w:r w:rsidRPr="00FA0E91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招标代理业绩，每提供1个业绩得2分，最高得10分。</w:t>
            </w:r>
          </w:p>
          <w:p w14:paraId="6621DD5D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注：提供中标通知书或代理合同作为证明材料。签字盖章日期等信息需完整。</w:t>
            </w: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62668" w14:textId="77777777" w:rsidR="00FA0E91" w:rsidRPr="00FA0E91" w:rsidRDefault="00FA0E91" w:rsidP="00FA0E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FA0E91" w:rsidRPr="00FA0E91" w14:paraId="09DF86D4" w14:textId="77777777" w:rsidTr="00FA0E91">
        <w:trPr>
          <w:trHeight w:val="1035"/>
          <w:jc w:val="center"/>
        </w:trPr>
        <w:tc>
          <w:tcPr>
            <w:tcW w:w="5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67FA2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3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B4E42" w14:textId="70ECD2A5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响应承诺（满分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0分）</w:t>
            </w:r>
          </w:p>
        </w:tc>
        <w:tc>
          <w:tcPr>
            <w:tcW w:w="7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5FCBE" w14:textId="77777777" w:rsidR="00FA0E91" w:rsidRPr="00FA0E91" w:rsidRDefault="00FA0E91" w:rsidP="00FA0E91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  <w:p w14:paraId="434DB26F" w14:textId="012FC3C6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2</w:t>
            </w: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0分</w:t>
            </w:r>
          </w:p>
        </w:tc>
        <w:tc>
          <w:tcPr>
            <w:tcW w:w="9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A9DF1" w14:textId="7C08D951" w:rsid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投标人承诺中标后在服务期限内在南昌市有固定办公地点，</w:t>
            </w:r>
            <w:r w:rsidRPr="00FA0E91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1小时响应采购人，2小时解决采购人问题，若招标代理机构有重大失误或不响应的；采购人有权与其单方面解除合同。本项得20分。</w:t>
            </w:r>
          </w:p>
          <w:p w14:paraId="55BB8484" w14:textId="7CB66335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注：</w:t>
            </w:r>
            <w:r w:rsidRPr="00FA0E91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提供承诺函加盖公章，不提供不得分。</w:t>
            </w: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790ED" w14:textId="77777777" w:rsidR="00FA0E91" w:rsidRPr="00FA0E91" w:rsidRDefault="00FA0E91" w:rsidP="00FA0E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FA0E91" w:rsidRPr="00FA0E91" w14:paraId="40EE776D" w14:textId="77777777" w:rsidTr="00FA0E91">
        <w:trPr>
          <w:trHeight w:val="1035"/>
          <w:jc w:val="center"/>
        </w:trPr>
        <w:tc>
          <w:tcPr>
            <w:tcW w:w="568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4255E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336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A6362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技术评审</w:t>
            </w:r>
          </w:p>
          <w:p w14:paraId="2AA39772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5B905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5分</w:t>
            </w:r>
          </w:p>
        </w:tc>
        <w:tc>
          <w:tcPr>
            <w:tcW w:w="9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7CF08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针对相关法律法规、省内相关规定，根据本项目情况结合采购单位实际情况编制服务承诺：满分5分</w:t>
            </w:r>
          </w:p>
          <w:p w14:paraId="055E340F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（1）服务承诺科学、 完整、全面，得4～5分；</w:t>
            </w:r>
          </w:p>
          <w:p w14:paraId="09FFE83D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（2）服务承诺较为科学、基本完整、较为全面，得2～3.9分；</w:t>
            </w:r>
          </w:p>
          <w:p w14:paraId="397D15E5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（3）服务承诺不科学、有缺失、不完善，得1～1.9分；</w:t>
            </w:r>
          </w:p>
          <w:p w14:paraId="0EBDD2B4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（4）未提供服务承诺，得0分。</w:t>
            </w: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8F512" w14:textId="77777777" w:rsidR="00FA0E91" w:rsidRPr="00FA0E91" w:rsidRDefault="00FA0E91" w:rsidP="00FA0E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FA0E91" w:rsidRPr="00FA0E91" w14:paraId="60225357" w14:textId="77777777" w:rsidTr="00FA0E91">
        <w:trPr>
          <w:trHeight w:val="1035"/>
          <w:jc w:val="center"/>
        </w:trPr>
        <w:tc>
          <w:tcPr>
            <w:tcW w:w="568" w:type="dxa"/>
            <w:vMerge/>
            <w:shd w:val="clear" w:color="auto" w:fill="FFFFFF"/>
            <w:vAlign w:val="center"/>
            <w:hideMark/>
          </w:tcPr>
          <w:p w14:paraId="176859CE" w14:textId="77777777" w:rsidR="00FA0E91" w:rsidRPr="00FA0E91" w:rsidRDefault="00FA0E91" w:rsidP="00FA0E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FFFFFF"/>
            <w:vAlign w:val="center"/>
            <w:hideMark/>
          </w:tcPr>
          <w:p w14:paraId="1949F913" w14:textId="77777777" w:rsidR="00FA0E91" w:rsidRPr="00FA0E91" w:rsidRDefault="00FA0E91" w:rsidP="00FA0E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4FB16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15分</w:t>
            </w:r>
          </w:p>
        </w:tc>
        <w:tc>
          <w:tcPr>
            <w:tcW w:w="9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142C5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招标代理方案包括但不限于：项目流程及时间计划，如何有效避免和解决异议（质疑）、投诉方案等。满分15分</w:t>
            </w:r>
          </w:p>
          <w:p w14:paraId="05EB8039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（1）全面、详细、内容具体，可行性高，得10～15分；</w:t>
            </w:r>
          </w:p>
          <w:p w14:paraId="36A2B98A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（2）较好、项目流程细则可行，但内容简单不够全面，得5～9.9分；</w:t>
            </w:r>
          </w:p>
          <w:p w14:paraId="1BB4AAC4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（3）不够详细、合理性欠缺，得1～4.9分；</w:t>
            </w:r>
          </w:p>
          <w:p w14:paraId="7D07ED8D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（4）未提供招标代理方案得0分。</w:t>
            </w: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13DF3" w14:textId="77777777" w:rsidR="00FA0E91" w:rsidRPr="00FA0E91" w:rsidRDefault="00FA0E91" w:rsidP="00FA0E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FA0E91" w:rsidRPr="00FA0E91" w14:paraId="05470770" w14:textId="77777777" w:rsidTr="00FA0E91">
        <w:trPr>
          <w:trHeight w:val="450"/>
          <w:jc w:val="center"/>
        </w:trPr>
        <w:tc>
          <w:tcPr>
            <w:tcW w:w="190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41610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11086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F150B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得分相同者，报价低的排序在前。</w:t>
            </w:r>
          </w:p>
        </w:tc>
      </w:tr>
      <w:tr w:rsidR="00FA0E91" w:rsidRPr="00FA0E91" w14:paraId="245719F7" w14:textId="77777777" w:rsidTr="00FA0E91">
        <w:trPr>
          <w:trHeight w:val="495"/>
          <w:jc w:val="center"/>
        </w:trPr>
        <w:tc>
          <w:tcPr>
            <w:tcW w:w="12990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50F42" w14:textId="77777777" w:rsidR="00FA0E91" w:rsidRPr="00FA0E91" w:rsidRDefault="00FA0E91" w:rsidP="00FA0E91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A0E9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 计100分</w:t>
            </w:r>
          </w:p>
        </w:tc>
      </w:tr>
    </w:tbl>
    <w:p w14:paraId="5BCA1FBF" w14:textId="77777777" w:rsidR="00B257F9" w:rsidRDefault="00B257F9"/>
    <w:sectPr w:rsidR="00B257F9" w:rsidSect="00FA0E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3191" w14:textId="77777777" w:rsidR="00A6237E" w:rsidRDefault="00A6237E" w:rsidP="00FA0E91">
      <w:r>
        <w:separator/>
      </w:r>
    </w:p>
  </w:endnote>
  <w:endnote w:type="continuationSeparator" w:id="0">
    <w:p w14:paraId="2DF9C2F8" w14:textId="77777777" w:rsidR="00A6237E" w:rsidRDefault="00A6237E" w:rsidP="00FA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0CBF8" w14:textId="77777777" w:rsidR="00A6237E" w:rsidRDefault="00A6237E" w:rsidP="00FA0E91">
      <w:r>
        <w:separator/>
      </w:r>
    </w:p>
  </w:footnote>
  <w:footnote w:type="continuationSeparator" w:id="0">
    <w:p w14:paraId="41C9A873" w14:textId="77777777" w:rsidR="00A6237E" w:rsidRDefault="00A6237E" w:rsidP="00FA0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91"/>
    <w:rsid w:val="00A6237E"/>
    <w:rsid w:val="00B257F9"/>
    <w:rsid w:val="00BE5867"/>
    <w:rsid w:val="00C76969"/>
    <w:rsid w:val="00FA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DF61E"/>
  <w15:chartTrackingRefBased/>
  <w15:docId w15:val="{B66229A7-A28D-4544-87F0-1EA32A0C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0E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A0E9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0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A0E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anhui</dc:creator>
  <cp:keywords/>
  <dc:description/>
  <cp:lastModifiedBy>anhui</cp:lastModifiedBy>
  <cp:revision>3</cp:revision>
  <dcterms:created xsi:type="dcterms:W3CDTF">2023-11-09T05:09:00Z</dcterms:created>
  <dcterms:modified xsi:type="dcterms:W3CDTF">2023-11-09T05:25:00Z</dcterms:modified>
</cp:coreProperties>
</file>